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A39B1" w14:textId="77777777" w:rsidR="00DE672F" w:rsidRDefault="00DE672F">
      <w:pPr>
        <w:rPr>
          <w:rFonts w:ascii="Arial" w:hAnsi="Arial" w:cs="Arial"/>
        </w:rPr>
      </w:pPr>
      <w:bookmarkStart w:id="0" w:name="_GoBack"/>
      <w:bookmarkEnd w:id="0"/>
    </w:p>
    <w:p w14:paraId="3083EACE" w14:textId="77777777" w:rsidR="00DE672F" w:rsidRDefault="00DE672F">
      <w:pPr>
        <w:rPr>
          <w:rFonts w:ascii="Arial" w:hAnsi="Arial" w:cs="Arial"/>
        </w:rPr>
      </w:pPr>
    </w:p>
    <w:p w14:paraId="4FD3C0D2" w14:textId="77777777" w:rsidR="00DE672F" w:rsidRDefault="00DE672F">
      <w:pPr>
        <w:rPr>
          <w:rFonts w:ascii="Arial" w:hAnsi="Arial" w:cs="Arial"/>
        </w:rPr>
      </w:pPr>
    </w:p>
    <w:p w14:paraId="099905EB" w14:textId="77777777" w:rsidR="00DE672F" w:rsidRDefault="00AB5547">
      <w:pPr>
        <w:tabs>
          <w:tab w:val="left" w:pos="3380"/>
        </w:tabs>
        <w:rPr>
          <w:rFonts w:ascii="Arial" w:hAnsi="Arial" w:cs="Arial"/>
        </w:rPr>
      </w:pPr>
      <w:r>
        <w:rPr>
          <w:rFonts w:ascii="Arial" w:hAnsi="Arial" w:cs="Arial"/>
        </w:rPr>
        <w:tab/>
      </w:r>
    </w:p>
    <w:p w14:paraId="4E84C2BD" w14:textId="77777777" w:rsidR="00DE672F" w:rsidRDefault="00AB5547">
      <w:pPr>
        <w:rPr>
          <w:rFonts w:ascii="Arial" w:hAnsi="Arial" w:cs="Arial"/>
        </w:rPr>
      </w:pPr>
      <w:r>
        <w:rPr>
          <w:rFonts w:ascii="Arial" w:hAnsi="Arial" w:cs="Arial"/>
        </w:rPr>
        <w:t>Part III - Administrative, Procedural, and Miscellaneous</w:t>
      </w:r>
    </w:p>
    <w:p w14:paraId="562FB99B" w14:textId="77777777" w:rsidR="00DE672F" w:rsidRDefault="00DE672F">
      <w:pPr>
        <w:rPr>
          <w:rFonts w:ascii="Arial" w:hAnsi="Arial" w:cs="Arial"/>
        </w:rPr>
      </w:pPr>
    </w:p>
    <w:p w14:paraId="7FF04D31" w14:textId="77777777" w:rsidR="00DE672F" w:rsidRDefault="00DE672F">
      <w:pPr>
        <w:rPr>
          <w:rFonts w:ascii="Arial" w:hAnsi="Arial" w:cs="Arial"/>
        </w:rPr>
      </w:pPr>
    </w:p>
    <w:p w14:paraId="40CE417E" w14:textId="77777777" w:rsidR="00DE672F" w:rsidRDefault="00DE672F">
      <w:pPr>
        <w:rPr>
          <w:rFonts w:ascii="Arial" w:hAnsi="Arial" w:cs="Arial"/>
        </w:rPr>
      </w:pPr>
    </w:p>
    <w:p w14:paraId="43B35FCE" w14:textId="77777777" w:rsidR="00DE672F" w:rsidRDefault="00DE672F">
      <w:pPr>
        <w:rPr>
          <w:rFonts w:ascii="Arial" w:hAnsi="Arial" w:cs="Arial"/>
        </w:rPr>
      </w:pPr>
    </w:p>
    <w:p w14:paraId="536F444A" w14:textId="6F0840A2" w:rsidR="00DE672F" w:rsidRDefault="00AB5547">
      <w:pPr>
        <w:rPr>
          <w:rFonts w:ascii="Arial" w:hAnsi="Arial" w:cs="Arial"/>
        </w:rPr>
      </w:pPr>
      <w:r>
        <w:rPr>
          <w:rFonts w:ascii="Arial" w:hAnsi="Arial" w:cs="Arial"/>
        </w:rPr>
        <w:t>Relief with Respect to Employment Tax Deadlines Applicable to Employers Affected by the Ongoing Coronavirus (COVID-19) Disease 2019 Pandemic</w:t>
      </w:r>
    </w:p>
    <w:p w14:paraId="6E9BBEA5" w14:textId="77777777" w:rsidR="00DE672F" w:rsidRDefault="00DE672F">
      <w:pPr>
        <w:rPr>
          <w:rFonts w:ascii="Arial" w:hAnsi="Arial" w:cs="Arial"/>
        </w:rPr>
      </w:pPr>
    </w:p>
    <w:p w14:paraId="67EDB221" w14:textId="77777777" w:rsidR="00DE672F" w:rsidRDefault="00DE672F">
      <w:pPr>
        <w:rPr>
          <w:rFonts w:ascii="Arial" w:hAnsi="Arial" w:cs="Arial"/>
        </w:rPr>
      </w:pPr>
    </w:p>
    <w:p w14:paraId="24D7954D" w14:textId="77777777" w:rsidR="00DE672F" w:rsidRDefault="00DE672F">
      <w:pPr>
        <w:rPr>
          <w:rFonts w:ascii="Arial" w:hAnsi="Arial" w:cs="Arial"/>
        </w:rPr>
      </w:pPr>
    </w:p>
    <w:p w14:paraId="7D87615E" w14:textId="77777777" w:rsidR="00DE672F" w:rsidRDefault="00DE672F">
      <w:pPr>
        <w:rPr>
          <w:rFonts w:ascii="Arial" w:hAnsi="Arial" w:cs="Arial"/>
        </w:rPr>
      </w:pPr>
    </w:p>
    <w:p w14:paraId="4DAF4E68" w14:textId="77777777" w:rsidR="00DE672F" w:rsidRDefault="00AB5547">
      <w:pPr>
        <w:rPr>
          <w:rFonts w:ascii="Arial" w:hAnsi="Arial" w:cs="Arial"/>
        </w:rPr>
      </w:pPr>
      <w:r>
        <w:rPr>
          <w:rFonts w:ascii="Arial" w:hAnsi="Arial" w:cs="Arial"/>
        </w:rPr>
        <w:t>Notice 2020-65</w:t>
      </w:r>
    </w:p>
    <w:p w14:paraId="595FBDFA" w14:textId="77777777" w:rsidR="00DE672F" w:rsidRDefault="00DE672F">
      <w:pPr>
        <w:ind w:firstLine="720"/>
        <w:rPr>
          <w:rFonts w:ascii="Arial" w:hAnsi="Arial" w:cs="Arial"/>
        </w:rPr>
      </w:pPr>
      <w:bookmarkStart w:id="1" w:name="_Hlk48209512"/>
    </w:p>
    <w:p w14:paraId="490803A0" w14:textId="77777777" w:rsidR="00DE672F" w:rsidRDefault="00DE672F">
      <w:pPr>
        <w:ind w:firstLine="720"/>
        <w:rPr>
          <w:rFonts w:ascii="Arial" w:hAnsi="Arial" w:cs="Arial"/>
        </w:rPr>
      </w:pPr>
    </w:p>
    <w:p w14:paraId="537FE8DD" w14:textId="306FA279" w:rsidR="00DE672F" w:rsidRDefault="00AB5547">
      <w:pPr>
        <w:spacing w:line="480" w:lineRule="auto"/>
        <w:ind w:firstLine="720"/>
        <w:rPr>
          <w:rFonts w:ascii="Arial" w:hAnsi="Arial" w:cs="Arial"/>
          <w:lang w:val="en"/>
        </w:rPr>
      </w:pPr>
      <w:r>
        <w:rPr>
          <w:rFonts w:ascii="Arial" w:hAnsi="Arial" w:cs="Arial"/>
        </w:rPr>
        <w:t>On August 8, 2020, the President of the United States issued a Presidential Memorandum directing the Secretary of the Treasury (Secretary) to use his authority pursuant to section 7508A of the Internal Revenue Code (Code) to defer the withholding, deposit, and payment of certain payroll tax obligations.</w:t>
      </w:r>
      <w:r>
        <w:rPr>
          <w:rStyle w:val="FootnoteReference"/>
          <w:rFonts w:ascii="Arial" w:hAnsi="Arial" w:cs="Arial"/>
          <w:vertAlign w:val="superscript"/>
        </w:rPr>
        <w:footnoteReference w:id="2"/>
      </w:r>
      <w:r>
        <w:rPr>
          <w:rFonts w:ascii="Arial" w:hAnsi="Arial" w:cs="Arial"/>
        </w:rPr>
        <w:t xml:space="preserve">  Accordingly, </w:t>
      </w:r>
      <w:proofErr w:type="spellStart"/>
      <w:r>
        <w:rPr>
          <w:rFonts w:ascii="Arial" w:hAnsi="Arial" w:cs="Arial"/>
        </w:rPr>
        <w:t>t</w:t>
      </w:r>
      <w:r>
        <w:rPr>
          <w:rFonts w:ascii="Arial" w:hAnsi="Arial" w:cs="Arial"/>
          <w:lang w:val="en"/>
        </w:rPr>
        <w:t>he</w:t>
      </w:r>
      <w:proofErr w:type="spellEnd"/>
      <w:r>
        <w:rPr>
          <w:rFonts w:ascii="Arial" w:hAnsi="Arial" w:cs="Arial"/>
          <w:lang w:val="en"/>
        </w:rPr>
        <w:t xml:space="preserve"> Secretary has determined that employers that are required to withhold and pay the employee share of social security tax under section 3102(a) or the railroad retirement tax equivalent under section 3202(a) are affected by the COVID-19 emergency for purposes of the relief described in the Presidential Memorandum and this notice (Affected Taxpayers).  For Affected Taxpayers, the due date for the withholding and payment</w:t>
      </w:r>
      <w:r>
        <w:rPr>
          <w:rStyle w:val="FootnoteReference"/>
          <w:rFonts w:ascii="Arial" w:hAnsi="Arial" w:cs="Arial"/>
          <w:vertAlign w:val="superscript"/>
          <w:lang w:val="en"/>
        </w:rPr>
        <w:footnoteReference w:id="3"/>
      </w:r>
      <w:r>
        <w:rPr>
          <w:rFonts w:ascii="Arial" w:hAnsi="Arial" w:cs="Arial"/>
          <w:lang w:val="en"/>
        </w:rPr>
        <w:t xml:space="preserve"> of the tax imposed by section 3101(a), and so much of the tax imposed by </w:t>
      </w:r>
      <w:r>
        <w:rPr>
          <w:rFonts w:ascii="Arial" w:hAnsi="Arial" w:cs="Arial"/>
          <w:lang w:val="en"/>
        </w:rPr>
        <w:lastRenderedPageBreak/>
        <w:t xml:space="preserve">section 3201 as is attributable to the rate in effect under section 3101(a), on Applicable Wages, as defined herein, (collectively Applicable Taxes) is postponed until the period beginning on January 1, 2021, and ending on April 30, 2021.  </w:t>
      </w:r>
    </w:p>
    <w:p w14:paraId="6D155B05" w14:textId="77777777" w:rsidR="00DE672F" w:rsidRDefault="00AB5547">
      <w:pPr>
        <w:rPr>
          <w:rFonts w:ascii="Arial" w:hAnsi="Arial" w:cs="Arial"/>
          <w:lang w:val="en"/>
        </w:rPr>
      </w:pPr>
      <w:r>
        <w:rPr>
          <w:rFonts w:ascii="Arial" w:hAnsi="Arial" w:cs="Arial"/>
          <w:lang w:val="en"/>
        </w:rPr>
        <w:t xml:space="preserve">  </w:t>
      </w:r>
    </w:p>
    <w:p w14:paraId="6751CEDE" w14:textId="77777777" w:rsidR="00DE672F" w:rsidRDefault="00AB5547">
      <w:pPr>
        <w:widowControl/>
        <w:rPr>
          <w:rFonts w:ascii="Arial" w:hAnsi="Arial" w:cs="Arial"/>
          <w:b/>
          <w:lang w:val="en"/>
        </w:rPr>
      </w:pPr>
      <w:r>
        <w:rPr>
          <w:rFonts w:ascii="Arial" w:hAnsi="Arial" w:cs="Arial"/>
          <w:b/>
          <w:lang w:val="en"/>
        </w:rPr>
        <w:t>Applicable Wages</w:t>
      </w:r>
    </w:p>
    <w:p w14:paraId="487A04D2" w14:textId="77777777" w:rsidR="00DE672F" w:rsidRDefault="00DE672F">
      <w:pPr>
        <w:widowControl/>
        <w:rPr>
          <w:rFonts w:ascii="Arial" w:hAnsi="Arial" w:cs="Arial"/>
          <w:b/>
          <w:lang w:val="en"/>
        </w:rPr>
      </w:pPr>
    </w:p>
    <w:p w14:paraId="0C17D4E4" w14:textId="77777777" w:rsidR="00DE672F" w:rsidRDefault="00AB5547">
      <w:pPr>
        <w:widowControl/>
        <w:spacing w:line="480" w:lineRule="auto"/>
        <w:ind w:firstLine="720"/>
        <w:rPr>
          <w:rFonts w:ascii="Arial" w:hAnsi="Arial" w:cs="Arial"/>
          <w:lang w:val="en"/>
        </w:rPr>
      </w:pPr>
      <w:r>
        <w:rPr>
          <w:rFonts w:ascii="Arial" w:hAnsi="Arial" w:cs="Arial"/>
          <w:lang w:val="en"/>
        </w:rPr>
        <w:t>For purposes of this notice, Applicable Wages means wages as defined in section 3121(a) or compensation as defined in section 3231(e)</w:t>
      </w:r>
      <w:r>
        <w:rPr>
          <w:rStyle w:val="FootnoteReference"/>
          <w:rFonts w:ascii="Arial" w:hAnsi="Arial" w:cs="Arial"/>
          <w:vertAlign w:val="superscript"/>
          <w:lang w:val="en"/>
        </w:rPr>
        <w:footnoteReference w:id="4"/>
      </w:r>
      <w:r>
        <w:rPr>
          <w:rFonts w:ascii="Arial" w:hAnsi="Arial" w:cs="Arial"/>
          <w:vertAlign w:val="superscript"/>
          <w:lang w:val="en"/>
        </w:rPr>
        <w:t xml:space="preserve"> </w:t>
      </w:r>
      <w:r>
        <w:rPr>
          <w:rFonts w:ascii="Arial" w:hAnsi="Arial" w:cs="Arial"/>
          <w:lang w:val="en"/>
        </w:rPr>
        <w:t xml:space="preserve">paid to an employee on a pay date during the period beginning on September 1, 2020, and ending on December 31, 2020, but only if the amount of such wages or compensation paid for a bi-weekly pay period is less than the threshold amount of $4,000, or the equivalent threshold amount with respect to other pay periods. The determination of Applicable Wages is made on a pay period-by-pay period basis.  If the amount of wages or compensation payable to an employee for a pay period is less than the corresponding pay period threshold amount, then that amount is considered Applicable Wages for the pay period, and the relief provided in this notice applies to those wages or that compensation paid to that employee for that pay period, irrespective of the amount of wages or compensation paid to the employee for other pay periods. </w:t>
      </w:r>
    </w:p>
    <w:p w14:paraId="094EF830" w14:textId="77777777" w:rsidR="00DE672F" w:rsidRDefault="00DE672F">
      <w:pPr>
        <w:rPr>
          <w:rFonts w:ascii="Arial" w:hAnsi="Arial" w:cs="Arial"/>
          <w:lang w:val="en"/>
        </w:rPr>
      </w:pPr>
    </w:p>
    <w:p w14:paraId="3593F63F" w14:textId="77777777" w:rsidR="00DE672F" w:rsidRDefault="00AB5547">
      <w:pPr>
        <w:rPr>
          <w:rFonts w:ascii="Arial" w:hAnsi="Arial" w:cs="Arial"/>
          <w:b/>
          <w:lang w:val="en"/>
        </w:rPr>
      </w:pPr>
      <w:r>
        <w:rPr>
          <w:rFonts w:ascii="Arial" w:hAnsi="Arial" w:cs="Arial"/>
          <w:b/>
          <w:lang w:val="en"/>
        </w:rPr>
        <w:t>Payment of Deferred Applicable Taxes</w:t>
      </w:r>
    </w:p>
    <w:p w14:paraId="085A9A32" w14:textId="77777777" w:rsidR="00DE672F" w:rsidRDefault="00DE672F">
      <w:pPr>
        <w:rPr>
          <w:rFonts w:ascii="Arial" w:hAnsi="Arial" w:cs="Arial"/>
          <w:b/>
          <w:lang w:val="en"/>
        </w:rPr>
      </w:pPr>
    </w:p>
    <w:p w14:paraId="16DA1256" w14:textId="77777777" w:rsidR="00DE672F" w:rsidRDefault="00AB5547">
      <w:pPr>
        <w:spacing w:line="480" w:lineRule="auto"/>
        <w:ind w:firstLine="720"/>
        <w:rPr>
          <w:rFonts w:ascii="Arial" w:hAnsi="Arial" w:cs="Arial"/>
          <w:lang w:val="en"/>
        </w:rPr>
      </w:pPr>
      <w:r>
        <w:rPr>
          <w:rFonts w:ascii="Arial" w:hAnsi="Arial" w:cs="Arial"/>
          <w:lang w:val="en"/>
        </w:rPr>
        <w:lastRenderedPageBreak/>
        <w:t xml:space="preserve">An Affected Taxpayer must withhold and pay the total Applicable Taxes that the Affected Taxpayer deferred under this notice ratably from wages and compensation paid between January 1, 2021 and April 30, 2021 or interest, penalties, and additions to tax will begin to accrue on May 1, 2021, with respect to any unpaid Applicable Taxes.  If necessary, the Affected Taxpayer may </w:t>
      </w:r>
      <w:proofErr w:type="gramStart"/>
      <w:r>
        <w:rPr>
          <w:rFonts w:ascii="Arial" w:hAnsi="Arial" w:cs="Arial"/>
          <w:lang w:val="en"/>
        </w:rPr>
        <w:t>make arrangements</w:t>
      </w:r>
      <w:proofErr w:type="gramEnd"/>
      <w:r>
        <w:rPr>
          <w:rFonts w:ascii="Arial" w:hAnsi="Arial" w:cs="Arial"/>
          <w:lang w:val="en"/>
        </w:rPr>
        <w:t xml:space="preserve"> to otherwise collect the total Applicable Taxes from the employee. </w:t>
      </w:r>
    </w:p>
    <w:p w14:paraId="46FE1A20" w14:textId="77777777" w:rsidR="00DE672F" w:rsidRDefault="00DE672F">
      <w:pPr>
        <w:rPr>
          <w:rFonts w:ascii="Arial" w:hAnsi="Arial" w:cs="Arial"/>
          <w:lang w:val="en"/>
        </w:rPr>
      </w:pPr>
    </w:p>
    <w:p w14:paraId="1D3D0FE6" w14:textId="77777777" w:rsidR="00DE672F" w:rsidRDefault="00AB5547">
      <w:pPr>
        <w:keepNext/>
        <w:widowControl/>
        <w:spacing w:line="480" w:lineRule="auto"/>
        <w:rPr>
          <w:rFonts w:ascii="Arial" w:hAnsi="Arial" w:cs="Arial"/>
          <w:b/>
          <w:bCs/>
        </w:rPr>
      </w:pPr>
      <w:r>
        <w:rPr>
          <w:rFonts w:ascii="Arial" w:hAnsi="Arial" w:cs="Arial"/>
          <w:b/>
          <w:bCs/>
        </w:rPr>
        <w:t>Drafting Information</w:t>
      </w:r>
    </w:p>
    <w:p w14:paraId="4A97AEF7" w14:textId="77810B69" w:rsidR="00DE672F" w:rsidRDefault="00AB5547">
      <w:pPr>
        <w:widowControl/>
        <w:spacing w:line="480" w:lineRule="auto"/>
        <w:ind w:firstLine="720"/>
        <w:rPr>
          <w:rFonts w:ascii="Arial" w:hAnsi="Arial" w:cs="Arial"/>
        </w:rPr>
      </w:pPr>
      <w:r>
        <w:rPr>
          <w:rFonts w:ascii="Arial" w:hAnsi="Arial" w:cs="Arial"/>
        </w:rPr>
        <w:t xml:space="preserve">The principal authors of this notice are attorneys of the Office of Associate Chief Counsel, Employee Plans, Exempt Organizations, and Employment Taxes, with the participation of staff from other offices.  For further information regarding the guidance under this notice, please call the Notice 2020-65 Hotline at (202) 317-5436 (not a toll-free number).  </w:t>
      </w:r>
    </w:p>
    <w:p w14:paraId="38200D5A" w14:textId="77777777" w:rsidR="00DE672F" w:rsidRDefault="00DE672F">
      <w:pPr>
        <w:rPr>
          <w:rFonts w:ascii="Arial" w:hAnsi="Arial" w:cs="Arial"/>
          <w:lang w:val="en"/>
        </w:rPr>
      </w:pPr>
    </w:p>
    <w:p w14:paraId="40AD0472" w14:textId="77777777" w:rsidR="00DE672F" w:rsidRDefault="00DE672F">
      <w:pPr>
        <w:rPr>
          <w:rFonts w:ascii="Arial" w:hAnsi="Arial" w:cs="Arial"/>
          <w:lang w:val="en"/>
        </w:rPr>
      </w:pPr>
    </w:p>
    <w:p w14:paraId="48905F95" w14:textId="77777777" w:rsidR="00DE672F" w:rsidRDefault="00DE672F">
      <w:pPr>
        <w:rPr>
          <w:b/>
        </w:rPr>
      </w:pPr>
    </w:p>
    <w:bookmarkEnd w:id="1"/>
    <w:p w14:paraId="65AFAC9F" w14:textId="77777777" w:rsidR="00DE672F" w:rsidRDefault="00AB5547">
      <w:pPr>
        <w:widowControl/>
        <w:ind w:firstLine="720"/>
        <w:rPr>
          <w:rFonts w:ascii="Arial" w:hAnsi="Arial" w:cs="Arial"/>
        </w:rPr>
      </w:pPr>
      <w:r>
        <w:rPr>
          <w:rFonts w:ascii="Arial" w:hAnsi="Arial" w:cs="Arial"/>
        </w:rPr>
        <w:t xml:space="preserve"> </w:t>
      </w:r>
    </w:p>
    <w:sectPr w:rsidR="00DE672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5BB75" w14:textId="77777777" w:rsidR="00AB5547" w:rsidRDefault="00AB5547">
      <w:r>
        <w:separator/>
      </w:r>
    </w:p>
  </w:endnote>
  <w:endnote w:type="continuationSeparator" w:id="0">
    <w:p w14:paraId="01A75AE0" w14:textId="77777777" w:rsidR="00AB5547" w:rsidRDefault="00AB5547">
      <w:r>
        <w:continuationSeparator/>
      </w:r>
    </w:p>
  </w:endnote>
  <w:endnote w:type="continuationNotice" w:id="1">
    <w:p w14:paraId="57596CF9" w14:textId="77777777" w:rsidR="00AB5547" w:rsidRDefault="00AB55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566E9" w14:textId="77777777" w:rsidR="00DE672F" w:rsidRDefault="00DE67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493764493"/>
      <w:docPartObj>
        <w:docPartGallery w:val="Page Numbers (Bottom of Page)"/>
        <w:docPartUnique/>
      </w:docPartObj>
    </w:sdtPr>
    <w:sdtEndPr>
      <w:rPr>
        <w:noProof/>
      </w:rPr>
    </w:sdtEndPr>
    <w:sdtContent>
      <w:p w14:paraId="0F7F10FA" w14:textId="77777777" w:rsidR="00DE672F" w:rsidRDefault="00AB5547">
        <w:pPr>
          <w:pStyle w:val="Footer"/>
          <w:jc w:val="center"/>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w:t>
        </w:r>
        <w:r>
          <w:rPr>
            <w:rFonts w:ascii="Arial" w:hAnsi="Arial" w:cs="Arial"/>
            <w:noProof/>
          </w:rPr>
          <w:fldChar w:fldCharType="end"/>
        </w:r>
      </w:p>
    </w:sdtContent>
  </w:sdt>
  <w:p w14:paraId="18BB0D2E" w14:textId="77777777" w:rsidR="00DE672F" w:rsidRDefault="00DE67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BC9CA" w14:textId="77777777" w:rsidR="00DE672F" w:rsidRDefault="00DE6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CB0A9" w14:textId="77777777" w:rsidR="00AB5547" w:rsidRDefault="00AB5547">
      <w:r>
        <w:separator/>
      </w:r>
    </w:p>
  </w:footnote>
  <w:footnote w:type="continuationSeparator" w:id="0">
    <w:p w14:paraId="1BED555E" w14:textId="77777777" w:rsidR="00AB5547" w:rsidRDefault="00AB5547">
      <w:r>
        <w:continuationSeparator/>
      </w:r>
    </w:p>
  </w:footnote>
  <w:footnote w:type="continuationNotice" w:id="1">
    <w:p w14:paraId="002FF262" w14:textId="77777777" w:rsidR="00AB5547" w:rsidRDefault="00AB5547"/>
  </w:footnote>
  <w:footnote w:id="2">
    <w:p w14:paraId="01227230" w14:textId="77777777" w:rsidR="00DE672F" w:rsidRDefault="00AB5547">
      <w:pPr>
        <w:pStyle w:val="FootnoteText"/>
        <w:rPr>
          <w:rFonts w:ascii="Arial" w:hAnsi="Arial" w:cs="Arial"/>
        </w:rPr>
      </w:pPr>
      <w:r>
        <w:rPr>
          <w:rStyle w:val="FootnoteReference"/>
          <w:rFonts w:ascii="Arial" w:hAnsi="Arial" w:cs="Arial"/>
          <w:vertAlign w:val="superscript"/>
        </w:rPr>
        <w:footnoteRef/>
      </w:r>
      <w:r>
        <w:rPr>
          <w:rFonts w:ascii="Arial" w:hAnsi="Arial" w:cs="Arial"/>
        </w:rPr>
        <w:t xml:space="preserve"> The Presidential Memorandum is available at https://www.federalregister.gov/d/2020-17899.</w:t>
      </w:r>
    </w:p>
    <w:p w14:paraId="21833BBC" w14:textId="77777777" w:rsidR="00DE672F" w:rsidRDefault="00DE672F">
      <w:pPr>
        <w:pStyle w:val="FootnoteText"/>
      </w:pPr>
    </w:p>
  </w:footnote>
  <w:footnote w:id="3">
    <w:p w14:paraId="429759CA" w14:textId="520407FC" w:rsidR="00DE672F" w:rsidRDefault="00AB5547">
      <w:pPr>
        <w:pStyle w:val="FootnoteText"/>
        <w:rPr>
          <w:rFonts w:ascii="Arial" w:hAnsi="Arial" w:cs="Arial"/>
        </w:rPr>
      </w:pPr>
      <w:r>
        <w:rPr>
          <w:rStyle w:val="FootnoteReference"/>
          <w:rFonts w:ascii="Arial" w:hAnsi="Arial" w:cs="Arial"/>
          <w:vertAlign w:val="superscript"/>
        </w:rPr>
        <w:footnoteRef/>
      </w:r>
      <w:r>
        <w:rPr>
          <w:rFonts w:ascii="Arial" w:hAnsi="Arial" w:cs="Arial"/>
          <w:vertAlign w:val="superscript"/>
        </w:rPr>
        <w:t xml:space="preserve"> </w:t>
      </w:r>
      <w:r>
        <w:rPr>
          <w:rFonts w:ascii="Arial" w:hAnsi="Arial" w:cs="Arial"/>
        </w:rPr>
        <w:t>The deposit obligation for employee social security tax does not arise until the tax is withheld.  Accordingly, by postponing the time for withholding the employee social security tax, the deposit obligation is delayed by operation of the regulations.  Thus, this notice does not separately postpone the deposit obligation.</w:t>
      </w:r>
    </w:p>
    <w:p w14:paraId="7FB33B6A" w14:textId="77777777" w:rsidR="00DE672F" w:rsidRDefault="00DE672F">
      <w:pPr>
        <w:pStyle w:val="FootnoteText"/>
      </w:pPr>
    </w:p>
  </w:footnote>
  <w:footnote w:id="4">
    <w:p w14:paraId="435C6C18" w14:textId="77777777" w:rsidR="00DE672F" w:rsidRDefault="00AB5547">
      <w:pPr>
        <w:pStyle w:val="FootnoteText"/>
        <w:rPr>
          <w:rFonts w:ascii="Arial" w:hAnsi="Arial" w:cs="Arial"/>
        </w:rPr>
      </w:pPr>
      <w:r>
        <w:rPr>
          <w:rStyle w:val="FootnoteReference"/>
          <w:rFonts w:ascii="Arial" w:hAnsi="Arial" w:cs="Arial"/>
          <w:vertAlign w:val="superscript"/>
        </w:rPr>
        <w:footnoteRef/>
      </w:r>
      <w:r>
        <w:rPr>
          <w:rFonts w:ascii="Arial" w:hAnsi="Arial" w:cs="Arial"/>
          <w:vertAlign w:val="superscript"/>
        </w:rPr>
        <w:t xml:space="preserve"> </w:t>
      </w:r>
      <w:r>
        <w:rPr>
          <w:rFonts w:ascii="Arial" w:hAnsi="Arial" w:cs="Arial"/>
        </w:rPr>
        <w:t>Because Applicable Wages are defined as wages as defined in section 3121(a) and compensation as defined in section 3231(e), any amounts excluded from wages or compensation under these sections are not included when determining Applicable Wages.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AF104" w14:textId="77777777" w:rsidR="00DE672F" w:rsidRDefault="00DE67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E038A" w14:textId="77777777" w:rsidR="00DE672F" w:rsidRDefault="00DE67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D4E35" w14:textId="77777777" w:rsidR="00DE672F" w:rsidRDefault="00DE67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606"/>
    <w:multiLevelType w:val="hybridMultilevel"/>
    <w:tmpl w:val="2B920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0152AF"/>
    <w:multiLevelType w:val="hybridMultilevel"/>
    <w:tmpl w:val="C6DA1EC6"/>
    <w:lvl w:ilvl="0" w:tplc="9836BFE2">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642549"/>
    <w:multiLevelType w:val="hybridMultilevel"/>
    <w:tmpl w:val="A24CC9A0"/>
    <w:lvl w:ilvl="0" w:tplc="448AC2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20360B"/>
    <w:multiLevelType w:val="hybridMultilevel"/>
    <w:tmpl w:val="1DD6EE26"/>
    <w:lvl w:ilvl="0" w:tplc="809C868E">
      <w:start w:val="1"/>
      <w:numFmt w:val="decimal"/>
      <w:lvlText w:val="%1."/>
      <w:lvlJc w:val="left"/>
      <w:pPr>
        <w:ind w:left="180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361093"/>
    <w:multiLevelType w:val="hybridMultilevel"/>
    <w:tmpl w:val="075CBDE0"/>
    <w:lvl w:ilvl="0" w:tplc="0409000F">
      <w:start w:val="1"/>
      <w:numFmt w:val="decimal"/>
      <w:lvlText w:val="%1."/>
      <w:lvlJc w:val="left"/>
      <w:pPr>
        <w:ind w:left="144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4C452F"/>
    <w:multiLevelType w:val="hybridMultilevel"/>
    <w:tmpl w:val="DDCEC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809C5"/>
    <w:multiLevelType w:val="hybridMultilevel"/>
    <w:tmpl w:val="2E807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8906EC"/>
    <w:multiLevelType w:val="hybridMultilevel"/>
    <w:tmpl w:val="EEF609D0"/>
    <w:lvl w:ilvl="0" w:tplc="1D687DD6">
      <w:start w:val="104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D1195"/>
    <w:multiLevelType w:val="hybridMultilevel"/>
    <w:tmpl w:val="D8A4915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A5E4166"/>
    <w:multiLevelType w:val="hybridMultilevel"/>
    <w:tmpl w:val="253E45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804184"/>
    <w:multiLevelType w:val="hybridMultilevel"/>
    <w:tmpl w:val="6114B8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A9969CD"/>
    <w:multiLevelType w:val="hybridMultilevel"/>
    <w:tmpl w:val="3850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11320D"/>
    <w:multiLevelType w:val="hybridMultilevel"/>
    <w:tmpl w:val="81003FA6"/>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D607E9A"/>
    <w:multiLevelType w:val="hybridMultilevel"/>
    <w:tmpl w:val="34B67C86"/>
    <w:lvl w:ilvl="0" w:tplc="04090015">
      <w:start w:val="1"/>
      <w:numFmt w:val="upperLetter"/>
      <w:lvlText w:val="%1."/>
      <w:lvlJc w:val="left"/>
      <w:pPr>
        <w:ind w:left="1080" w:hanging="360"/>
      </w:pPr>
    </w:lvl>
    <w:lvl w:ilvl="1" w:tplc="B67AE3B0">
      <w:start w:val="1"/>
      <w:numFmt w:val="decimal"/>
      <w:lvlText w:val="%2."/>
      <w:lvlJc w:val="left"/>
      <w:pPr>
        <w:ind w:left="1800" w:hanging="360"/>
      </w:pPr>
      <w:rPr>
        <w:b w:val="0"/>
        <w:bCs w:val="0"/>
      </w:rPr>
    </w:lvl>
    <w:lvl w:ilvl="2" w:tplc="04090019">
      <w:start w:val="1"/>
      <w:numFmt w:val="lowerLetter"/>
      <w:lvlText w:val="%3."/>
      <w:lvlJc w:val="left"/>
      <w:pPr>
        <w:ind w:left="3060" w:hanging="72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960D08"/>
    <w:multiLevelType w:val="hybridMultilevel"/>
    <w:tmpl w:val="FB7667C0"/>
    <w:lvl w:ilvl="0" w:tplc="0409000F">
      <w:start w:val="1"/>
      <w:numFmt w:val="decimal"/>
      <w:lvlText w:val="%1."/>
      <w:lvlJc w:val="left"/>
      <w:pPr>
        <w:ind w:left="2160" w:hanging="360"/>
      </w:pPr>
      <w:rPr>
        <w:rFonts w:hint="default"/>
        <w:i w:val="0"/>
        <w:iCs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AE52D77"/>
    <w:multiLevelType w:val="hybridMultilevel"/>
    <w:tmpl w:val="2FCAE4D2"/>
    <w:lvl w:ilvl="0" w:tplc="CE842E48">
      <w:start w:val="1"/>
      <w:numFmt w:val="upperLetter"/>
      <w:lvlText w:val="%1."/>
      <w:lvlJc w:val="left"/>
      <w:pPr>
        <w:ind w:left="117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243EAD"/>
    <w:multiLevelType w:val="hybridMultilevel"/>
    <w:tmpl w:val="4EDCBA2C"/>
    <w:lvl w:ilvl="0" w:tplc="04090013">
      <w:start w:val="1"/>
      <w:numFmt w:val="upperRoman"/>
      <w:lvlText w:val="%1."/>
      <w:lvlJc w:val="righ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D77B95"/>
    <w:multiLevelType w:val="hybridMultilevel"/>
    <w:tmpl w:val="9E48B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912A7A"/>
    <w:multiLevelType w:val="hybridMultilevel"/>
    <w:tmpl w:val="655E49D4"/>
    <w:lvl w:ilvl="0" w:tplc="27D685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533DC0"/>
    <w:multiLevelType w:val="hybridMultilevel"/>
    <w:tmpl w:val="5D4E03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687A87"/>
    <w:multiLevelType w:val="hybridMultilevel"/>
    <w:tmpl w:val="22A6B6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3372BD"/>
    <w:multiLevelType w:val="hybridMultilevel"/>
    <w:tmpl w:val="3B8E3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FB3A1C"/>
    <w:multiLevelType w:val="hybridMultilevel"/>
    <w:tmpl w:val="BC8E0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8A1F64"/>
    <w:multiLevelType w:val="hybridMultilevel"/>
    <w:tmpl w:val="DDA48AE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AC33CE9"/>
    <w:multiLevelType w:val="hybridMultilevel"/>
    <w:tmpl w:val="88F2307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C00F27"/>
    <w:multiLevelType w:val="hybridMultilevel"/>
    <w:tmpl w:val="6F14CA04"/>
    <w:lvl w:ilvl="0" w:tplc="1E1696A6">
      <w:start w:val="1"/>
      <w:numFmt w:val="decimal"/>
      <w:lvlText w:val="%1."/>
      <w:lvlJc w:val="left"/>
      <w:pPr>
        <w:ind w:left="1440" w:hanging="360"/>
      </w:pPr>
      <w:rPr>
        <w:rFonts w:hint="default"/>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C5746AB"/>
    <w:multiLevelType w:val="hybridMultilevel"/>
    <w:tmpl w:val="F164483A"/>
    <w:lvl w:ilvl="0" w:tplc="04090001">
      <w:start w:val="1"/>
      <w:numFmt w:val="bullet"/>
      <w:lvlText w:val=""/>
      <w:lvlJc w:val="left"/>
      <w:pPr>
        <w:ind w:left="5760" w:hanging="360"/>
      </w:pPr>
      <w:rPr>
        <w:rFonts w:ascii="Symbol" w:hAnsi="Symbol" w:hint="default"/>
      </w:rPr>
    </w:lvl>
    <w:lvl w:ilvl="1" w:tplc="04090019">
      <w:start w:val="1"/>
      <w:numFmt w:val="lowerLetter"/>
      <w:lvlText w:val="%2."/>
      <w:lvlJc w:val="left"/>
      <w:pPr>
        <w:ind w:left="6480" w:hanging="360"/>
      </w:pPr>
    </w:lvl>
    <w:lvl w:ilvl="2" w:tplc="0409001B">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7" w15:restartNumberingAfterBreak="0">
    <w:nsid w:val="5CEF1126"/>
    <w:multiLevelType w:val="hybridMultilevel"/>
    <w:tmpl w:val="FF4A710A"/>
    <w:lvl w:ilvl="0" w:tplc="C890E1EE">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5F0602"/>
    <w:multiLevelType w:val="hybridMultilevel"/>
    <w:tmpl w:val="2A427744"/>
    <w:lvl w:ilvl="0" w:tplc="692E887A">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C4592E"/>
    <w:multiLevelType w:val="hybridMultilevel"/>
    <w:tmpl w:val="628E389A"/>
    <w:lvl w:ilvl="0" w:tplc="F288E5EC">
      <w:start w:val="1"/>
      <w:numFmt w:val="lowerLetter"/>
      <w:lvlText w:val="%1."/>
      <w:lvlJc w:val="left"/>
      <w:pPr>
        <w:ind w:left="3600" w:hanging="360"/>
      </w:pPr>
      <w:rPr>
        <w:rFonts w:hint="default"/>
        <w:i w:val="0"/>
        <w:iCs w:val="0"/>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68C06B1A"/>
    <w:multiLevelType w:val="hybridMultilevel"/>
    <w:tmpl w:val="CE38EF94"/>
    <w:lvl w:ilvl="0" w:tplc="809C868E">
      <w:start w:val="1"/>
      <w:numFmt w:val="decimal"/>
      <w:lvlText w:val="%1."/>
      <w:lvlJc w:val="lef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5C6A84"/>
    <w:multiLevelType w:val="hybridMultilevel"/>
    <w:tmpl w:val="40CE8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4D7B3F"/>
    <w:multiLevelType w:val="hybridMultilevel"/>
    <w:tmpl w:val="5E60DC90"/>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7D60A0"/>
    <w:multiLevelType w:val="multilevel"/>
    <w:tmpl w:val="531855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7556D7"/>
    <w:multiLevelType w:val="hybridMultilevel"/>
    <w:tmpl w:val="8E34E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C30575"/>
    <w:multiLevelType w:val="hybridMultilevel"/>
    <w:tmpl w:val="5DBC7A3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EC0835"/>
    <w:multiLevelType w:val="hybridMultilevel"/>
    <w:tmpl w:val="B14A0C40"/>
    <w:lvl w:ilvl="0" w:tplc="04090019">
      <w:start w:val="1"/>
      <w:numFmt w:val="lowerLetter"/>
      <w:lvlText w:val="%1."/>
      <w:lvlJc w:val="left"/>
      <w:pPr>
        <w:ind w:left="2520" w:hanging="360"/>
      </w:pPr>
      <w:rPr>
        <w:rFonts w:hint="default"/>
        <w:i w:val="0"/>
        <w:iCs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73B70C21"/>
    <w:multiLevelType w:val="hybridMultilevel"/>
    <w:tmpl w:val="878A2890"/>
    <w:lvl w:ilvl="0" w:tplc="04090019">
      <w:start w:val="1"/>
      <w:numFmt w:val="lowerLetter"/>
      <w:lvlText w:val="%1."/>
      <w:lvlJc w:val="left"/>
      <w:pPr>
        <w:ind w:left="2160" w:hanging="360"/>
      </w:pPr>
      <w:rPr>
        <w:rFonts w:hint="default"/>
        <w:i w:val="0"/>
        <w:iCs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3D61942"/>
    <w:multiLevelType w:val="hybridMultilevel"/>
    <w:tmpl w:val="716E10E6"/>
    <w:lvl w:ilvl="0" w:tplc="04090013">
      <w:start w:val="1"/>
      <w:numFmt w:val="upperRoman"/>
      <w:lvlText w:val="%1."/>
      <w:lvlJc w:val="righ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4511053"/>
    <w:multiLevelType w:val="hybridMultilevel"/>
    <w:tmpl w:val="4964074C"/>
    <w:lvl w:ilvl="0" w:tplc="FF1EBE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A726F9"/>
    <w:multiLevelType w:val="hybridMultilevel"/>
    <w:tmpl w:val="4292596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8C624F2"/>
    <w:multiLevelType w:val="hybridMultilevel"/>
    <w:tmpl w:val="101EBD8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A235F61"/>
    <w:multiLevelType w:val="hybridMultilevel"/>
    <w:tmpl w:val="CAF014BC"/>
    <w:lvl w:ilvl="0" w:tplc="0409000F">
      <w:start w:val="1"/>
      <w:numFmt w:val="decimal"/>
      <w:lvlText w:val="%1."/>
      <w:lvlJc w:val="left"/>
      <w:pPr>
        <w:ind w:left="288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8"/>
  </w:num>
  <w:num w:numId="3">
    <w:abstractNumId w:val="7"/>
  </w:num>
  <w:num w:numId="4">
    <w:abstractNumId w:val="39"/>
  </w:num>
  <w:num w:numId="5">
    <w:abstractNumId w:val="33"/>
  </w:num>
  <w:num w:numId="6">
    <w:abstractNumId w:val="34"/>
  </w:num>
  <w:num w:numId="7">
    <w:abstractNumId w:val="13"/>
  </w:num>
  <w:num w:numId="8">
    <w:abstractNumId w:val="41"/>
  </w:num>
  <w:num w:numId="9">
    <w:abstractNumId w:val="4"/>
  </w:num>
  <w:num w:numId="10">
    <w:abstractNumId w:val="42"/>
  </w:num>
  <w:num w:numId="11">
    <w:abstractNumId w:val="23"/>
  </w:num>
  <w:num w:numId="12">
    <w:abstractNumId w:val="29"/>
  </w:num>
  <w:num w:numId="13">
    <w:abstractNumId w:val="6"/>
  </w:num>
  <w:num w:numId="14">
    <w:abstractNumId w:val="38"/>
  </w:num>
  <w:num w:numId="15">
    <w:abstractNumId w:val="32"/>
  </w:num>
  <w:num w:numId="16">
    <w:abstractNumId w:val="16"/>
  </w:num>
  <w:num w:numId="17">
    <w:abstractNumId w:val="28"/>
  </w:num>
  <w:num w:numId="18">
    <w:abstractNumId w:val="0"/>
  </w:num>
  <w:num w:numId="19">
    <w:abstractNumId w:val="10"/>
  </w:num>
  <w:num w:numId="20">
    <w:abstractNumId w:val="14"/>
  </w:num>
  <w:num w:numId="21">
    <w:abstractNumId w:val="22"/>
  </w:num>
  <w:num w:numId="22">
    <w:abstractNumId w:val="26"/>
  </w:num>
  <w:num w:numId="23">
    <w:abstractNumId w:val="35"/>
  </w:num>
  <w:num w:numId="24">
    <w:abstractNumId w:val="36"/>
  </w:num>
  <w:num w:numId="25">
    <w:abstractNumId w:val="24"/>
  </w:num>
  <w:num w:numId="26">
    <w:abstractNumId w:val="31"/>
  </w:num>
  <w:num w:numId="27">
    <w:abstractNumId w:val="9"/>
  </w:num>
  <w:num w:numId="28">
    <w:abstractNumId w:val="30"/>
  </w:num>
  <w:num w:numId="29">
    <w:abstractNumId w:val="3"/>
  </w:num>
  <w:num w:numId="30">
    <w:abstractNumId w:val="19"/>
  </w:num>
  <w:num w:numId="31">
    <w:abstractNumId w:val="12"/>
  </w:num>
  <w:num w:numId="32">
    <w:abstractNumId w:val="8"/>
  </w:num>
  <w:num w:numId="33">
    <w:abstractNumId w:val="37"/>
  </w:num>
  <w:num w:numId="34">
    <w:abstractNumId w:val="25"/>
  </w:num>
  <w:num w:numId="35">
    <w:abstractNumId w:val="21"/>
  </w:num>
  <w:num w:numId="36">
    <w:abstractNumId w:val="5"/>
  </w:num>
  <w:num w:numId="37">
    <w:abstractNumId w:val="11"/>
  </w:num>
  <w:num w:numId="38">
    <w:abstractNumId w:val="17"/>
  </w:num>
  <w:num w:numId="39">
    <w:abstractNumId w:val="27"/>
  </w:num>
  <w:num w:numId="40">
    <w:abstractNumId w:val="20"/>
  </w:num>
  <w:num w:numId="41">
    <w:abstractNumId w:val="15"/>
  </w:num>
  <w:num w:numId="42">
    <w:abstractNumId w:val="40"/>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72F"/>
    <w:rsid w:val="005B67E6"/>
    <w:rsid w:val="00671C80"/>
    <w:rsid w:val="00AB5547"/>
    <w:rsid w:val="00DE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Revision">
    <w:name w:val="Revision"/>
    <w:hidden/>
    <w:uiPriority w:val="99"/>
    <w:semiHidden/>
    <w:rPr>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character" w:customStyle="1" w:styleId="search-highlight1">
    <w:name w:val="search-highlight1"/>
    <w:basedOn w:val="DefaultParagraphFont"/>
    <w:rPr>
      <w:b/>
      <w:bCs/>
      <w:color w:val="FFFFFF"/>
      <w:shd w:val="clear" w:color="auto" w:fill="F38841"/>
    </w:rPr>
  </w:style>
  <w:style w:type="paragraph" w:styleId="BodyText">
    <w:name w:val="Body Text"/>
    <w:basedOn w:val="Normal"/>
    <w:link w:val="BodyTextChar"/>
    <w:uiPriority w:val="1"/>
    <w:qFormat/>
    <w:pPr>
      <w:autoSpaceDE/>
      <w:autoSpaceDN/>
      <w:adjustRightInd/>
      <w:ind w:left="100"/>
    </w:pPr>
    <w:rPr>
      <w:rFonts w:ascii="Arial" w:eastAsia="Arial" w:hAnsi="Arial" w:cstheme="minorBidi"/>
    </w:rPr>
  </w:style>
  <w:style w:type="character" w:customStyle="1" w:styleId="BodyTextChar">
    <w:name w:val="Body Text Char"/>
    <w:basedOn w:val="DefaultParagraphFont"/>
    <w:link w:val="BodyText"/>
    <w:uiPriority w:val="1"/>
    <w:rPr>
      <w:rFonts w:ascii="Arial" w:eastAsia="Arial" w:hAnsi="Arial" w:cstheme="minorBidi"/>
      <w:sz w:val="24"/>
      <w:szCs w:val="24"/>
    </w:rPr>
  </w:style>
  <w:style w:type="character" w:styleId="Hyperlink">
    <w:name w:val="Hyperlink"/>
    <w:basedOn w:val="DefaultParagraphFont"/>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semiHidden/>
    <w:unhideWhenUsed/>
    <w:rPr>
      <w:color w:val="954F72" w:themeColor="followedHyperlink"/>
      <w:u w:val="single"/>
    </w:rPr>
  </w:style>
  <w:style w:type="paragraph" w:styleId="FootnoteText">
    <w:name w:val="footnote text"/>
    <w:basedOn w:val="Normal"/>
    <w:link w:val="FootnoteTextChar"/>
    <w:unhideWhenUsed/>
    <w:rPr>
      <w:sz w:val="20"/>
      <w:szCs w:val="20"/>
    </w:rPr>
  </w:style>
  <w:style w:type="character" w:customStyle="1" w:styleId="FootnoteTextChar">
    <w:name w:val="Footnote Text Char"/>
    <w:basedOn w:val="DefaultParagraphFont"/>
    <w:link w:val="FootnoteText"/>
  </w:style>
  <w:style w:type="paragraph" w:styleId="NoSpacing">
    <w:name w:val="No Spacing"/>
    <w:uiPriority w:val="1"/>
    <w:qFormat/>
    <w:pPr>
      <w:widowControl w:val="0"/>
      <w:autoSpaceDE w:val="0"/>
      <w:autoSpaceDN w:val="0"/>
      <w:adjustRightInd w:val="0"/>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table" w:styleId="TableGrid">
    <w:name w:val="Table Grid"/>
    <w:basedOn w:val="TableNormal"/>
    <w:uiPriority w:val="3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0467">
      <w:bodyDiv w:val="1"/>
      <w:marLeft w:val="0"/>
      <w:marRight w:val="0"/>
      <w:marTop w:val="0"/>
      <w:marBottom w:val="0"/>
      <w:divBdr>
        <w:top w:val="none" w:sz="0" w:space="0" w:color="auto"/>
        <w:left w:val="none" w:sz="0" w:space="0" w:color="auto"/>
        <w:bottom w:val="none" w:sz="0" w:space="0" w:color="auto"/>
        <w:right w:val="none" w:sz="0" w:space="0" w:color="auto"/>
      </w:divBdr>
    </w:div>
    <w:div w:id="121466251">
      <w:bodyDiv w:val="1"/>
      <w:marLeft w:val="0"/>
      <w:marRight w:val="0"/>
      <w:marTop w:val="0"/>
      <w:marBottom w:val="0"/>
      <w:divBdr>
        <w:top w:val="none" w:sz="0" w:space="0" w:color="auto"/>
        <w:left w:val="none" w:sz="0" w:space="0" w:color="auto"/>
        <w:bottom w:val="none" w:sz="0" w:space="0" w:color="auto"/>
        <w:right w:val="none" w:sz="0" w:space="0" w:color="auto"/>
      </w:divBdr>
    </w:div>
    <w:div w:id="182598199">
      <w:bodyDiv w:val="1"/>
      <w:marLeft w:val="0"/>
      <w:marRight w:val="0"/>
      <w:marTop w:val="0"/>
      <w:marBottom w:val="0"/>
      <w:divBdr>
        <w:top w:val="none" w:sz="0" w:space="0" w:color="auto"/>
        <w:left w:val="none" w:sz="0" w:space="0" w:color="auto"/>
        <w:bottom w:val="none" w:sz="0" w:space="0" w:color="auto"/>
        <w:right w:val="none" w:sz="0" w:space="0" w:color="auto"/>
      </w:divBdr>
    </w:div>
    <w:div w:id="374353458">
      <w:bodyDiv w:val="1"/>
      <w:marLeft w:val="0"/>
      <w:marRight w:val="0"/>
      <w:marTop w:val="0"/>
      <w:marBottom w:val="0"/>
      <w:divBdr>
        <w:top w:val="none" w:sz="0" w:space="0" w:color="auto"/>
        <w:left w:val="none" w:sz="0" w:space="0" w:color="auto"/>
        <w:bottom w:val="none" w:sz="0" w:space="0" w:color="auto"/>
        <w:right w:val="none" w:sz="0" w:space="0" w:color="auto"/>
      </w:divBdr>
    </w:div>
    <w:div w:id="499006425">
      <w:bodyDiv w:val="1"/>
      <w:marLeft w:val="0"/>
      <w:marRight w:val="0"/>
      <w:marTop w:val="0"/>
      <w:marBottom w:val="0"/>
      <w:divBdr>
        <w:top w:val="none" w:sz="0" w:space="0" w:color="auto"/>
        <w:left w:val="none" w:sz="0" w:space="0" w:color="auto"/>
        <w:bottom w:val="none" w:sz="0" w:space="0" w:color="auto"/>
        <w:right w:val="none" w:sz="0" w:space="0" w:color="auto"/>
      </w:divBdr>
    </w:div>
    <w:div w:id="668362884">
      <w:bodyDiv w:val="1"/>
      <w:marLeft w:val="0"/>
      <w:marRight w:val="0"/>
      <w:marTop w:val="0"/>
      <w:marBottom w:val="0"/>
      <w:divBdr>
        <w:top w:val="none" w:sz="0" w:space="0" w:color="auto"/>
        <w:left w:val="none" w:sz="0" w:space="0" w:color="auto"/>
        <w:bottom w:val="none" w:sz="0" w:space="0" w:color="auto"/>
        <w:right w:val="none" w:sz="0" w:space="0" w:color="auto"/>
      </w:divBdr>
    </w:div>
    <w:div w:id="711734331">
      <w:bodyDiv w:val="1"/>
      <w:marLeft w:val="0"/>
      <w:marRight w:val="0"/>
      <w:marTop w:val="0"/>
      <w:marBottom w:val="0"/>
      <w:divBdr>
        <w:top w:val="none" w:sz="0" w:space="0" w:color="auto"/>
        <w:left w:val="none" w:sz="0" w:space="0" w:color="auto"/>
        <w:bottom w:val="none" w:sz="0" w:space="0" w:color="auto"/>
        <w:right w:val="none" w:sz="0" w:space="0" w:color="auto"/>
      </w:divBdr>
    </w:div>
    <w:div w:id="943659743">
      <w:bodyDiv w:val="1"/>
      <w:marLeft w:val="0"/>
      <w:marRight w:val="0"/>
      <w:marTop w:val="0"/>
      <w:marBottom w:val="0"/>
      <w:divBdr>
        <w:top w:val="none" w:sz="0" w:space="0" w:color="auto"/>
        <w:left w:val="none" w:sz="0" w:space="0" w:color="auto"/>
        <w:bottom w:val="none" w:sz="0" w:space="0" w:color="auto"/>
        <w:right w:val="none" w:sz="0" w:space="0" w:color="auto"/>
      </w:divBdr>
    </w:div>
    <w:div w:id="955596302">
      <w:bodyDiv w:val="1"/>
      <w:marLeft w:val="0"/>
      <w:marRight w:val="0"/>
      <w:marTop w:val="0"/>
      <w:marBottom w:val="0"/>
      <w:divBdr>
        <w:top w:val="none" w:sz="0" w:space="0" w:color="auto"/>
        <w:left w:val="none" w:sz="0" w:space="0" w:color="auto"/>
        <w:bottom w:val="none" w:sz="0" w:space="0" w:color="auto"/>
        <w:right w:val="none" w:sz="0" w:space="0" w:color="auto"/>
      </w:divBdr>
    </w:div>
    <w:div w:id="976564620">
      <w:bodyDiv w:val="1"/>
      <w:marLeft w:val="0"/>
      <w:marRight w:val="0"/>
      <w:marTop w:val="0"/>
      <w:marBottom w:val="0"/>
      <w:divBdr>
        <w:top w:val="none" w:sz="0" w:space="0" w:color="auto"/>
        <w:left w:val="none" w:sz="0" w:space="0" w:color="auto"/>
        <w:bottom w:val="none" w:sz="0" w:space="0" w:color="auto"/>
        <w:right w:val="none" w:sz="0" w:space="0" w:color="auto"/>
      </w:divBdr>
    </w:div>
    <w:div w:id="1189030089">
      <w:bodyDiv w:val="1"/>
      <w:marLeft w:val="0"/>
      <w:marRight w:val="0"/>
      <w:marTop w:val="0"/>
      <w:marBottom w:val="0"/>
      <w:divBdr>
        <w:top w:val="none" w:sz="0" w:space="0" w:color="auto"/>
        <w:left w:val="none" w:sz="0" w:space="0" w:color="auto"/>
        <w:bottom w:val="none" w:sz="0" w:space="0" w:color="auto"/>
        <w:right w:val="none" w:sz="0" w:space="0" w:color="auto"/>
      </w:divBdr>
    </w:div>
    <w:div w:id="1193768335">
      <w:bodyDiv w:val="1"/>
      <w:marLeft w:val="0"/>
      <w:marRight w:val="0"/>
      <w:marTop w:val="0"/>
      <w:marBottom w:val="0"/>
      <w:divBdr>
        <w:top w:val="none" w:sz="0" w:space="0" w:color="auto"/>
        <w:left w:val="none" w:sz="0" w:space="0" w:color="auto"/>
        <w:bottom w:val="none" w:sz="0" w:space="0" w:color="auto"/>
        <w:right w:val="none" w:sz="0" w:space="0" w:color="auto"/>
      </w:divBdr>
    </w:div>
    <w:div w:id="1352029759">
      <w:bodyDiv w:val="1"/>
      <w:marLeft w:val="0"/>
      <w:marRight w:val="0"/>
      <w:marTop w:val="0"/>
      <w:marBottom w:val="0"/>
      <w:divBdr>
        <w:top w:val="none" w:sz="0" w:space="0" w:color="auto"/>
        <w:left w:val="none" w:sz="0" w:space="0" w:color="auto"/>
        <w:bottom w:val="none" w:sz="0" w:space="0" w:color="auto"/>
        <w:right w:val="none" w:sz="0" w:space="0" w:color="auto"/>
      </w:divBdr>
    </w:div>
    <w:div w:id="1415930411">
      <w:bodyDiv w:val="1"/>
      <w:marLeft w:val="0"/>
      <w:marRight w:val="0"/>
      <w:marTop w:val="0"/>
      <w:marBottom w:val="0"/>
      <w:divBdr>
        <w:top w:val="none" w:sz="0" w:space="0" w:color="auto"/>
        <w:left w:val="none" w:sz="0" w:space="0" w:color="auto"/>
        <w:bottom w:val="none" w:sz="0" w:space="0" w:color="auto"/>
        <w:right w:val="none" w:sz="0" w:space="0" w:color="auto"/>
      </w:divBdr>
    </w:div>
    <w:div w:id="1461342934">
      <w:bodyDiv w:val="1"/>
      <w:marLeft w:val="0"/>
      <w:marRight w:val="0"/>
      <w:marTop w:val="0"/>
      <w:marBottom w:val="0"/>
      <w:divBdr>
        <w:top w:val="none" w:sz="0" w:space="0" w:color="auto"/>
        <w:left w:val="none" w:sz="0" w:space="0" w:color="auto"/>
        <w:bottom w:val="none" w:sz="0" w:space="0" w:color="auto"/>
        <w:right w:val="none" w:sz="0" w:space="0" w:color="auto"/>
      </w:divBdr>
    </w:div>
    <w:div w:id="1531796983">
      <w:bodyDiv w:val="1"/>
      <w:marLeft w:val="0"/>
      <w:marRight w:val="0"/>
      <w:marTop w:val="0"/>
      <w:marBottom w:val="0"/>
      <w:divBdr>
        <w:top w:val="none" w:sz="0" w:space="0" w:color="auto"/>
        <w:left w:val="none" w:sz="0" w:space="0" w:color="auto"/>
        <w:bottom w:val="none" w:sz="0" w:space="0" w:color="auto"/>
        <w:right w:val="none" w:sz="0" w:space="0" w:color="auto"/>
      </w:divBdr>
    </w:div>
    <w:div w:id="1609848798">
      <w:bodyDiv w:val="1"/>
      <w:marLeft w:val="0"/>
      <w:marRight w:val="0"/>
      <w:marTop w:val="0"/>
      <w:marBottom w:val="0"/>
      <w:divBdr>
        <w:top w:val="none" w:sz="0" w:space="0" w:color="auto"/>
        <w:left w:val="none" w:sz="0" w:space="0" w:color="auto"/>
        <w:bottom w:val="none" w:sz="0" w:space="0" w:color="auto"/>
        <w:right w:val="none" w:sz="0" w:space="0" w:color="auto"/>
      </w:divBdr>
    </w:div>
    <w:div w:id="1641617681">
      <w:bodyDiv w:val="1"/>
      <w:marLeft w:val="0"/>
      <w:marRight w:val="0"/>
      <w:marTop w:val="0"/>
      <w:marBottom w:val="0"/>
      <w:divBdr>
        <w:top w:val="none" w:sz="0" w:space="0" w:color="auto"/>
        <w:left w:val="none" w:sz="0" w:space="0" w:color="auto"/>
        <w:bottom w:val="none" w:sz="0" w:space="0" w:color="auto"/>
        <w:right w:val="none" w:sz="0" w:space="0" w:color="auto"/>
      </w:divBdr>
    </w:div>
    <w:div w:id="1741639776">
      <w:bodyDiv w:val="1"/>
      <w:marLeft w:val="0"/>
      <w:marRight w:val="0"/>
      <w:marTop w:val="0"/>
      <w:marBottom w:val="0"/>
      <w:divBdr>
        <w:top w:val="none" w:sz="0" w:space="0" w:color="auto"/>
        <w:left w:val="none" w:sz="0" w:space="0" w:color="auto"/>
        <w:bottom w:val="none" w:sz="0" w:space="0" w:color="auto"/>
        <w:right w:val="none" w:sz="0" w:space="0" w:color="auto"/>
      </w:divBdr>
    </w:div>
    <w:div w:id="1823614534">
      <w:bodyDiv w:val="1"/>
      <w:marLeft w:val="0"/>
      <w:marRight w:val="0"/>
      <w:marTop w:val="0"/>
      <w:marBottom w:val="0"/>
      <w:divBdr>
        <w:top w:val="none" w:sz="0" w:space="0" w:color="auto"/>
        <w:left w:val="none" w:sz="0" w:space="0" w:color="auto"/>
        <w:bottom w:val="none" w:sz="0" w:space="0" w:color="auto"/>
        <w:right w:val="none" w:sz="0" w:space="0" w:color="auto"/>
      </w:divBdr>
    </w:div>
    <w:div w:id="1854420991">
      <w:bodyDiv w:val="1"/>
      <w:marLeft w:val="0"/>
      <w:marRight w:val="0"/>
      <w:marTop w:val="0"/>
      <w:marBottom w:val="0"/>
      <w:divBdr>
        <w:top w:val="none" w:sz="0" w:space="0" w:color="auto"/>
        <w:left w:val="none" w:sz="0" w:space="0" w:color="auto"/>
        <w:bottom w:val="none" w:sz="0" w:space="0" w:color="auto"/>
        <w:right w:val="none" w:sz="0" w:space="0" w:color="auto"/>
      </w:divBdr>
    </w:div>
    <w:div w:id="1856767130">
      <w:bodyDiv w:val="1"/>
      <w:marLeft w:val="0"/>
      <w:marRight w:val="0"/>
      <w:marTop w:val="0"/>
      <w:marBottom w:val="0"/>
      <w:divBdr>
        <w:top w:val="none" w:sz="0" w:space="0" w:color="auto"/>
        <w:left w:val="none" w:sz="0" w:space="0" w:color="auto"/>
        <w:bottom w:val="none" w:sz="0" w:space="0" w:color="auto"/>
        <w:right w:val="none" w:sz="0" w:space="0" w:color="auto"/>
      </w:divBdr>
    </w:div>
    <w:div w:id="210032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720edc2f-bbb2-4544-b28c-dd2e5feb1048" xsi:nil="true"/>
    <TaxKeywordTaxHTField xmlns="f7f571d0-7c6a-4b47-a409-0f74acd1ea19">
      <Terms xmlns="http://schemas.microsoft.com/office/infopath/2007/PartnerControls"/>
    </TaxKeywordTaxHTField>
    <TaxCatchAll xmlns="5edbe80d-e595-46b9-be3c-e61540003b6e"/>
    <_x0037__x002d_point_x0020_Memo xmlns="720edc2f-bbb2-4544-b28c-dd2e5feb1048" xsi:nil="true"/>
    <_dlc_DocId xmlns="52222ef0-b167-44f5-92f7-438fda0857cd">DOTAXPOLICY-56-7918</_dlc_DocId>
    <_dlc_DocIdUrl xmlns="52222ef0-b167-44f5-92f7-438fda0857cd">
      <Url>https://my.treas.gov/Collab/taxpolicy/_layouts/15/DocIdRedir.aspx?ID=DOTAXPOLICY-56-7918</Url>
      <Description>DOTAXPOLICY-56-7918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86E40227E8D240B4E9120A1B209148" ma:contentTypeVersion="8" ma:contentTypeDescription="Create a new document." ma:contentTypeScope="" ma:versionID="85f08aaa0f96baa6c48385b2fb0dc6c3">
  <xsd:schema xmlns:xsd="http://www.w3.org/2001/XMLSchema" xmlns:xs="http://www.w3.org/2001/XMLSchema" xmlns:p="http://schemas.microsoft.com/office/2006/metadata/properties" xmlns:ns2="52222ef0-b167-44f5-92f7-438fda0857cd" xmlns:ns3="720edc2f-bbb2-4544-b28c-dd2e5feb1048" xmlns:ns4="f7f571d0-7c6a-4b47-a409-0f74acd1ea19" xmlns:ns5="5edbe80d-e595-46b9-be3c-e61540003b6e" targetNamespace="http://schemas.microsoft.com/office/2006/metadata/properties" ma:root="true" ma:fieldsID="ab65e8c2883b66cb36ba87da4a0290f1" ns2:_="" ns3:_="" ns4:_="" ns5:_="">
    <xsd:import namespace="52222ef0-b167-44f5-92f7-438fda0857cd"/>
    <xsd:import namespace="720edc2f-bbb2-4544-b28c-dd2e5feb1048"/>
    <xsd:import namespace="f7f571d0-7c6a-4b47-a409-0f74acd1ea19"/>
    <xsd:import namespace="5edbe80d-e595-46b9-be3c-e61540003b6e"/>
    <xsd:element name="properties">
      <xsd:complexType>
        <xsd:sequence>
          <xsd:element name="documentManagement">
            <xsd:complexType>
              <xsd:all>
                <xsd:element ref="ns2:_dlc_DocId" minOccurs="0"/>
                <xsd:element ref="ns2:_dlc_DocIdUrl" minOccurs="0"/>
                <xsd:element ref="ns2:_dlc_DocIdPersistId" minOccurs="0"/>
                <xsd:element ref="ns3:P0000000000000000000000000000001" minOccurs="0"/>
                <xsd:element ref="ns3:P0000000000000000000000000000002" minOccurs="0"/>
                <xsd:element ref="ns4:TaxKeywordTaxHTField" minOccurs="0"/>
                <xsd:element ref="ns5:TaxCatchAll" minOccurs="0"/>
                <xsd:element ref="ns3:Area" minOccurs="0"/>
                <xsd:element ref="ns3:_x0037__x002d_point_x0020_Mem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0edc2f-bbb2-4544-b28c-dd2e5feb1048" elementFormDefault="qualified">
    <xsd:import namespace="http://schemas.microsoft.com/office/2006/documentManagement/types"/>
    <xsd:import namespace="http://schemas.microsoft.com/office/infopath/2007/PartnerControls"/>
    <xsd:element name="P0000000000000000000000000000001" ma:index="11" nillable="true" ma:displayName="Accessibility" ma:internalName="P0000000000000000000000000000001"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0000000000000000000000000000002" ma:index="12" nillable="true" ma:displayName="Privacy" ma:internalName="P0000000000000000000000000000002"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rea" ma:index="16" nillable="true" ma:displayName="Area" ma:list="{d0953e8b-e9ef-49da-b194-6e57db96a53b}" ma:internalName="Area" ma:showField="Title">
      <xsd:simpleType>
        <xsd:restriction base="dms:Lookup"/>
      </xsd:simpleType>
    </xsd:element>
    <xsd:element name="_x0037__x002d_point_x0020_Memo" ma:index="17" nillable="true" ma:displayName="7-point Memo" ma:format="Dropdown" ma:internalName="_x0037__x002d_point_x0020_Memo">
      <xsd:simpleType>
        <xsd:union memberTypes="dms:Text">
          <xsd:simpleType>
            <xsd:restriction base="dms:Choice">
              <xsd:enumeration value="Ready for Review"/>
              <xsd:enumeration value="Submitted"/>
              <xsd:enumeration value="Old Vers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7f571d0-7c6a-4b47-a409-0f74acd1ea19"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dbe80d-e595-46b9-be3c-e61540003b6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4148aefb-b8d8-4fab-bcb9-853a08aa8268}" ma:internalName="TaxCatchAll" ma:showField="CatchAllData" ma:web="f7f571d0-7c6a-4b47-a409-0f74acd1ea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2262E-30D4-48AA-82CB-BCC88B781535}">
  <ds:schemaRefs>
    <ds:schemaRef ds:uri="http://schemas.microsoft.com/sharepoint/v3/contenttype/forms"/>
  </ds:schemaRefs>
</ds:datastoreItem>
</file>

<file path=customXml/itemProps2.xml><?xml version="1.0" encoding="utf-8"?>
<ds:datastoreItem xmlns:ds="http://schemas.openxmlformats.org/officeDocument/2006/customXml" ds:itemID="{255F6762-2B65-4112-958F-3931637AA9BF}">
  <ds:schemaRefs>
    <ds:schemaRef ds:uri="http://schemas.microsoft.com/office/2006/metadata/properties"/>
    <ds:schemaRef ds:uri="http://schemas.microsoft.com/office/infopath/2007/PartnerControls"/>
    <ds:schemaRef ds:uri="720edc2f-bbb2-4544-b28c-dd2e5feb1048"/>
    <ds:schemaRef ds:uri="f7f571d0-7c6a-4b47-a409-0f74acd1ea19"/>
    <ds:schemaRef ds:uri="5edbe80d-e595-46b9-be3c-e61540003b6e"/>
    <ds:schemaRef ds:uri="52222ef0-b167-44f5-92f7-438fda0857cd"/>
  </ds:schemaRefs>
</ds:datastoreItem>
</file>

<file path=customXml/itemProps3.xml><?xml version="1.0" encoding="utf-8"?>
<ds:datastoreItem xmlns:ds="http://schemas.openxmlformats.org/officeDocument/2006/customXml" ds:itemID="{813CAABB-659A-481E-A8DD-74D97D37F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720edc2f-bbb2-4544-b28c-dd2e5feb1048"/>
    <ds:schemaRef ds:uri="f7f571d0-7c6a-4b47-a409-0f74acd1ea19"/>
    <ds:schemaRef ds:uri="5edbe80d-e595-46b9-be3c-e61540003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41EF50-75ED-4304-B598-551AF71251CC}">
  <ds:schemaRefs>
    <ds:schemaRef ds:uri="http://schemas.microsoft.com/sharepoint/events"/>
  </ds:schemaRefs>
</ds:datastoreItem>
</file>

<file path=customXml/itemProps5.xml><?xml version="1.0" encoding="utf-8"?>
<ds:datastoreItem xmlns:ds="http://schemas.openxmlformats.org/officeDocument/2006/customXml" ds:itemID="{74E0A6D7-AAE8-4771-A186-36D9CAB4A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2669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2020-08-24T21:56:00Z</cp:lastPrinted>
  <dcterms:created xsi:type="dcterms:W3CDTF">2020-08-28T20:44:00Z</dcterms:created>
  <dcterms:modified xsi:type="dcterms:W3CDTF">2020-08-28T20:44:00Z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0x0101006C86E40227E8D240B4E9120A1B209148</vt:lpwstr>
  </property>
  <property fmtid="{D5CDD505-2E9C-101B-9397-08002B2CF9AE}" pid="3" name="_dlc_DocIdItemGuid">
    <vt:lpwstr>75e1e8a6-a04e-46bc-b88a-740c7cf560b6</vt:lpwstr>
  </property>
  <property fmtid="{D5CDD505-2E9C-101B-9397-08002B2CF9AE}" pid="4" name="TaxKeyword">
    <vt:lpwstr/>
  </property>
</Properties>
</file>